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378</w:t>
      </w:r>
    </w:p>
    <w:p>
      <w:r>
        <w:t>Bundesgericht (BGE), 2012-01-01, FR</w:t>
      </w:r>
    </w:p>
    <w:p>
      <w:r>
        <w:rPr>
          <w:b/>
        </w:rPr>
        <w:t xml:space="preserve">Quelle: </w:t>
      </w:r>
      <w:r>
        <w:t>https://mcp.opencaselaw.ch/entscheid/bge_138 III 378</w:t>
      </w:r>
    </w:p>
    <w:p>
      <w:r>
        <w:t>FR: ATF 138 III 378</w:t>
      </w:r>
    </w:p>
    <w:p>
      <w:r>
        <w:t>IT: DTF 138 III 378</w:t>
      </w:r>
    </w:p>
    <w:p>
      <w:pPr>
        <w:pStyle w:val="Heading2"/>
      </w:pPr>
      <w:r>
        <w:t>Regeste</w:t>
      </w:r>
    </w:p>
    <w:p>
      <w:r>
        <w:t>Regeste Art. 315 Abs. 5 ZPO; Gewährung der aufschiebenden Wirkung im Rahmen einer Berufung gegen einen Entscheid über vorsorgliche Massnahmen. Wenn der Entscheid über vorsorgliche Massnahmen, für welche der Vollstreckungsaufschub während des Berufungsverfahrens verlangt wird, eine Leistungsmassnahme darstellt, die endgültige Wirkung haben kann, darf der Aufschub nur verweigert werden, wenn die Berufung von vornherein offensichtlich unbegründet oder unzulässig erscheint (E. 6).</w:t>
      </w:r>
    </w:p>
    <w:p>
      <w:pPr>
        <w:pStyle w:val="Heading2"/>
      </w:pPr>
      <w:r>
        <w:t>Erwägungen</w:t>
      </w:r>
    </w:p>
    <w:p>
      <w:r>
        <w:rPr>
          <w:b/>
        </w:rPr>
        <w:t>E. 6</w:t>
      </w:r>
    </w:p>
    <w:p>
      <w:r>
        <w:t>Les recourants invoquent une application arbitraire de l' art. 315 al. 5 CPC (RS 272).</w:t>
      </w:r>
    </w:p>
    <w:p>
      <w:r>
        <w:rPr>
          <w:b/>
        </w:rPr>
        <w:t>E. 6.1</w:t>
      </w:r>
    </w:p>
    <w:p>
      <w:r>
        <w:t>Selon la jurisprudence, une décision est arbitraire lorsqu'elle est manifestement insoutenable, méconnaît gravement une norme ou un principe juridique clair et indiscuté, ou heurte de manière choquante BGE 138 III 378 S. 380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ATF 136 I 316 consid. 2.2.2 et les références citées).</w:t>
      </w:r>
    </w:p>
    <w:p>
      <w:r>
        <w:rPr>
          <w:b/>
        </w:rPr>
        <w:t>E. 6.2</w:t>
      </w:r>
    </w:p>
    <w:p>
      <w:r>
        <w:t>L'appel n'a pas d'effet suspensif lorsqu'il a pour objet des décisions portant sur des mesures provisionnelles ( art. 315 al. 4 let. b CPC ). A teneur de l' art. 315 al. 5 CPC , l'exécution des mesures provisionnelles peut exceptionnellement être suspendue si la partie concernée risque de subir un préjudice difficilement réparable. En tant que les mesures prononcées en l'espèce ordonnent, à titre provisoire, la démolition de la toiture d'un bâtiment, la stabilisation de celui-ci et sa protection contre les intempéries, elles constituent des mesures provisionnelles au sens des art. 262 let. b et 315 al. 4 let. b et al. 5 CPC.</w:t>
      </w:r>
    </w:p>
    <w:p>
      <w:r>
        <w:rPr>
          <w:b/>
        </w:rPr>
        <w:t>E. 6.3</w:t>
      </w:r>
    </w:p>
    <w:p>
      <w:r>
        <w:t>Le dommage difficilement réparable de l' art. 261 al. 1 let. b CPC est principalement de nature factuelle; il concerne tout préjudice, patrimonial ou immatériel, et peut même résulter du seul écoulement du temps pendant le procès (HOHL, Procédure civile, tome II, 2 e éd. 2010, n. 1763). Il en va de même pour le dommage difficilement réparable de l' art. 315 al. 5 CPC .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(REETZ/HILBER, in Kommentar zur Schweizerischen Zivilprozessordnung, Sutter-Somm/Hasenböhler/Leuenberger [éd.], 2010, n° 69 ad art. 315 CPC ; DONZALLAZ, La notion de "préjudice difficilement réparable" dans le CPC, in Il Codice di diritto processuale civile svizzero, Bernasconi et al. [éd.],2011, p. 191). Ces deux notions doivent en revanche être distinguées de celle de préjudice difficilement réparable, condition de recevabilité contre une décision ou une ordonnance d'instruction ( art. 319 let. b ch. 2 CPC ). Elles ne doivent pas être confondues non plus avec la notion de préjudice irréparable de l' art. 93 al. 1 let. a LTF , condition de recevabilité des recours au Tribunal fédéral contre les décisions préjudicielles ou incidentes (HOHL, op. cit., n. 1764; DONZALLAZ, op. cit., p. 191 s.; cf. également: arrêt 4P.155/1994 du BGE 138 III 378 S. 381 4 novembre 1994 consid. 2, in RSPI 1996 p. 241; concernant le manque de coordination terminologique entre les art. 92 s. LTF et l' art. 237 CPC , cf. TAPPY, in CPC, Code de procédure civile commenté, 2011, n° 5 ad art. 237 CPC ).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(REETZ/HILBER, ibidem; DONZALLAZ, op. cit., p. 191; TREZZINI, in Commentario al Codice di diritto processuale civile svizzero [CPC], 2011, p. 1385 s.).</w:t>
      </w:r>
    </w:p>
    <w:p>
      <w:r>
        <w:rPr>
          <w:b/>
        </w:rPr>
        <w:t>E. 6.4</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cité, consid. 3.2; HOHL, op. cit, n os 1844 ss; BOHNET, in CPC, Code de procédure civile commenté, 2011, n° 18 ad art. 261 CPC ; TREZZINI, op. cit., p. 1159 s.).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C'est à cette condition seulement que l'instance cantonale de recours poura vérifier la mise en balance des intérêts contradictoires des parties effectuée par le premier juge et examiner, à son tour, si les conditions matérielles du prononcé de la mesure provisionnelle requise BGE 138 III 378 S. 382 sont réunies. A défaut de suspension, l'intimé court en effet le risque d'être définitivement privé du contrôle de la décision sur mesures provisionnelles et, par suite, de tout intérêt à la procédure sur le fond. Aussi, la requête ne devrait être refusée que lorsque l'appel paraît d'emblée manifestement infondé ou irrecevable.</w:t>
      </w:r>
    </w:p>
    <w:p>
      <w:r>
        <w:rPr>
          <w:b/>
        </w:rPr>
        <w:t>E. 6.5</w:t>
      </w:r>
    </w:p>
    <w:p>
      <w:r>
        <w:t>En l'espèce, la mesure ordonnée est une mesure d'exécution anticipée provisoire susceptible d'avoir un effet définitif puisque, une fois la toiture démontée et le bâtiment stabilisé et protégé contre les intempéries, le litige sur le fond ne conserve que peu, voire plus du tout d'intérêt pour les parties. Par conséquent, la cour cantonale aurait dû procéder à l'examen des chances de succès de l'appel et ne refuser la requête d'effet suspensif que si celles-ci devaient être manifestement niées. En l'occurrence, il ne ressort pas de la décision entreprise que l'autorité précédente aurait procédé à un tel examen et serait arrivée à cette conclusion. Il s'ensuit que le Juge cantonal a manifestement violé l' art. 315 al. 5 CPC en refusant l'effet suspensif sans constater le défaut manifeste de chances de succès de l'appel. Le résultat, auquel il parvient et qui prive les recourants d'un véritable contrôle des mesures provisionnelles ordonnées, se révèle en outre arbitraire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